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C71" w:rsidRPr="001376E9" w:rsidRDefault="006516EA" w:rsidP="00442595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1376E9">
        <w:rPr>
          <w:rFonts w:ascii="Arial" w:hAnsi="Arial" w:cs="Arial"/>
          <w:b/>
          <w:sz w:val="36"/>
          <w:szCs w:val="36"/>
          <w:lang w:val="it-IT"/>
        </w:rPr>
        <w:t xml:space="preserve">Allegato </w:t>
      </w:r>
      <w:r w:rsidR="00721D00">
        <w:rPr>
          <w:rFonts w:ascii="Arial" w:hAnsi="Arial" w:cs="Arial"/>
          <w:b/>
          <w:sz w:val="36"/>
          <w:szCs w:val="36"/>
          <w:lang w:val="it-IT"/>
        </w:rPr>
        <w:t xml:space="preserve">II </w:t>
      </w:r>
      <w:r w:rsidR="00FF225E" w:rsidRPr="001376E9">
        <w:rPr>
          <w:rFonts w:ascii="Arial" w:hAnsi="Arial" w:cs="Arial"/>
          <w:b/>
          <w:sz w:val="36"/>
          <w:szCs w:val="36"/>
          <w:lang w:val="it-IT"/>
        </w:rPr>
        <w:t xml:space="preserve">prove tecniche 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 xml:space="preserve">(assegnazione </w:t>
      </w:r>
      <w:r w:rsidR="0031075B">
        <w:rPr>
          <w:rFonts w:ascii="Arial" w:hAnsi="Arial" w:cs="Arial"/>
          <w:b/>
          <w:sz w:val="36"/>
          <w:szCs w:val="36"/>
          <w:lang w:val="it-IT"/>
        </w:rPr>
        <w:t>3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>0</w:t>
      </w:r>
      <w:r w:rsidR="001376E9" w:rsidRPr="001376E9">
        <w:rPr>
          <w:rFonts w:ascii="Arial" w:hAnsi="Arial" w:cs="Arial"/>
          <w:b/>
          <w:sz w:val="36"/>
          <w:szCs w:val="36"/>
          <w:lang w:val="it-IT"/>
        </w:rPr>
        <w:t>/100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 xml:space="preserve"> punti)</w:t>
      </w:r>
    </w:p>
    <w:p w:rsidR="001376E9" w:rsidRDefault="001376E9" w:rsidP="00442595">
      <w:pPr>
        <w:spacing w:line="240" w:lineRule="atLeast"/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:rsidR="006516EA" w:rsidRPr="001376E9" w:rsidRDefault="00FF225E" w:rsidP="00442595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1376E9">
        <w:rPr>
          <w:rFonts w:ascii="Arial" w:hAnsi="Arial" w:cs="Arial"/>
          <w:b/>
          <w:sz w:val="36"/>
          <w:szCs w:val="36"/>
          <w:lang w:val="it-IT"/>
        </w:rPr>
        <w:t xml:space="preserve">soluzione 1 </w:t>
      </w:r>
    </w:p>
    <w:p w:rsidR="001376E9" w:rsidRDefault="001376E9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A50C7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Vengono fornite a ciascun partecipante 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due </w:t>
      </w:r>
      <w:proofErr w:type="spellStart"/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>vial</w:t>
      </w:r>
      <w:proofErr w:type="spellEnd"/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contenenti la soluzione 1: 1A e 1B</w:t>
      </w:r>
    </w:p>
    <w:p w:rsidR="001376E9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Entrambe le soluzioni contengono 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indicati in tabella: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miscela di </w:t>
      </w:r>
      <w:r w:rsidR="00F352EF">
        <w:rPr>
          <w:rFonts w:ascii="Arial" w:eastAsiaTheme="minorHAnsi" w:hAnsi="Arial" w:cs="Arial"/>
          <w:sz w:val="20"/>
          <w:szCs w:val="20"/>
          <w:lang w:val="it-IT" w:eastAsia="en-US"/>
        </w:rPr>
        <w:t>farmaci anabolizzanti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come indicato in tabella 1</w:t>
      </w:r>
      <w:r w:rsidR="00FF225E">
        <w:rPr>
          <w:rFonts w:ascii="Arial" w:eastAsiaTheme="minorHAnsi" w:hAnsi="Arial" w:cs="Arial"/>
          <w:sz w:val="20"/>
          <w:szCs w:val="20"/>
          <w:lang w:val="it-IT" w:eastAsia="en-US"/>
        </w:rPr>
        <w:t>: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necessariamente sar</w:t>
      </w:r>
      <w:r w:rsidR="00721D00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anno presenti tutti gli </w:t>
      </w:r>
      <w:proofErr w:type="spellStart"/>
      <w:r w:rsidR="00721D00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721D00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 w:rsidR="00FF225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721D00" w:rsidRDefault="00721D00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Tabella 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1: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molecole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valutare, ioni padre, quantificatori e qualificatori.</w:t>
      </w:r>
    </w:p>
    <w:p w:rsidR="001376E9" w:rsidRDefault="001376E9" w:rsidP="001376E9">
      <w:pPr>
        <w:spacing w:line="240" w:lineRule="atLeast"/>
        <w:jc w:val="center"/>
        <w:rPr>
          <w:rFonts w:ascii="Arial" w:hAnsi="Arial" w:cs="Arial"/>
          <w:b/>
          <w:sz w:val="32"/>
          <w:szCs w:val="32"/>
          <w:lang w:val="it-IT"/>
        </w:rPr>
      </w:pPr>
    </w:p>
    <w:tbl>
      <w:tblPr>
        <w:tblW w:w="7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197"/>
        <w:gridCol w:w="1279"/>
        <w:gridCol w:w="851"/>
        <w:gridCol w:w="141"/>
        <w:gridCol w:w="851"/>
        <w:gridCol w:w="992"/>
      </w:tblGrid>
      <w:tr w:rsidR="00911DA3" w:rsidTr="00911DA3">
        <w:trPr>
          <w:gridAfter w:val="2"/>
          <w:wAfter w:w="1843" w:type="dxa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NOME ANALITA 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PRECURSORE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  <w:tr w:rsidR="00911DA3" w:rsidTr="00911DA3">
        <w:trPr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Formula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it-IT" w:eastAsia="en-US"/>
              </w:rPr>
              <w:t>m/z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Bromobuterolo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212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Cimaterolo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116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Cimbuterolo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116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Clencicloexerolo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Clenbuterolo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Clenpenterolo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Clenproperolo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Clorbromobuterolo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249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Fenoterolo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135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Idrossimetilclenbuterolo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Isossisuprina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107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Mabuterolo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Mapenterolo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Procaterolo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Ractopamina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121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Salbutamolo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166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Salmeterolo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416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380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Terbutalina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</w:t>
            </w:r>
            <w:r w:rsidR="00B04BA4"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Zilpaterolo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202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Alfa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Boldenone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</w:t>
            </w:r>
            <w:r w:rsidR="00B04BA4"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173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Beta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Bodenone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3570F6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173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ADD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151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Alfa Nandrolone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239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Beta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Nandrolone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239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Alfa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Trenbolone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165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Beta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Trenbolone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165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17-Metiltestosterone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</w:t>
            </w:r>
            <w:r w:rsidR="00A752F4"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Desametasone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237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Betametasone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147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911DA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Beclometasone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147</w:t>
            </w:r>
          </w:p>
        </w:tc>
      </w:tr>
      <w:tr w:rsidR="00911DA3" w:rsidTr="00911DA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Metilprednisolone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911DA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[M+H]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A3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135</w:t>
            </w:r>
          </w:p>
        </w:tc>
      </w:tr>
    </w:tbl>
    <w:p w:rsidR="00411CA5" w:rsidRDefault="00411CA5" w:rsidP="00411CA5">
      <w:pPr>
        <w:spacing w:line="240" w:lineRule="atLeast"/>
        <w:jc w:val="both"/>
        <w:rPr>
          <w:rFonts w:ascii="Arial" w:hAnsi="Arial" w:cs="Arial"/>
          <w:highlight w:val="yellow"/>
          <w:lang w:val="it-IT"/>
        </w:rPr>
      </w:pPr>
    </w:p>
    <w:p w:rsidR="00A50C71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1376E9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Ciascun partecipante dovrà eseguire le 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determinazioni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richieste seguendo le condizioni operative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seguito indicate:</w:t>
      </w:r>
    </w:p>
    <w:p w:rsidR="00A50C71" w:rsidRDefault="001376E9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C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>ondizioni operative del cromatografo e generali dello spettrometro</w:t>
      </w:r>
    </w:p>
    <w:p w:rsidR="0076383F" w:rsidRPr="0076383F" w:rsidRDefault="00034907" w:rsidP="0076383F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Colonna cromatografica </w:t>
      </w:r>
      <w:r w:rsidR="00BC14D8">
        <w:rPr>
          <w:rFonts w:ascii="Arial" w:eastAsiaTheme="minorHAnsi" w:hAnsi="Arial" w:cs="Arial"/>
          <w:sz w:val="20"/>
          <w:szCs w:val="20"/>
          <w:lang w:val="it-IT" w:eastAsia="en-US"/>
        </w:rPr>
        <w:t>C18 Waters X Select HSS T3 2,5 µm (lunghezza 10 cm</w:t>
      </w:r>
      <w:r w:rsidR="0068465E"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 w:rsidR="00BC14D8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68465E">
        <w:rPr>
          <w:rFonts w:ascii="Arial" w:eastAsiaTheme="minorHAnsi" w:hAnsi="Arial" w:cs="Arial"/>
          <w:sz w:val="20"/>
          <w:szCs w:val="20"/>
          <w:lang w:val="it-IT" w:eastAsia="en-US"/>
        </w:rPr>
        <w:t>d</w:t>
      </w:r>
      <w:r w:rsidR="00BC14D8">
        <w:rPr>
          <w:rFonts w:ascii="Arial" w:eastAsiaTheme="minorHAnsi" w:hAnsi="Arial" w:cs="Arial"/>
          <w:sz w:val="20"/>
          <w:szCs w:val="20"/>
          <w:lang w:val="it-IT" w:eastAsia="en-US"/>
        </w:rPr>
        <w:t>iam</w:t>
      </w:r>
      <w:r w:rsidR="0068465E">
        <w:rPr>
          <w:rFonts w:ascii="Arial" w:eastAsiaTheme="minorHAnsi" w:hAnsi="Arial" w:cs="Arial"/>
          <w:sz w:val="20"/>
          <w:szCs w:val="20"/>
          <w:lang w:val="it-IT" w:eastAsia="en-US"/>
        </w:rPr>
        <w:t>etro</w:t>
      </w:r>
      <w:r w:rsidR="00BC14D8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interno (ID) 3 mm, diametro medio delle particelle 2,5 µm)</w:t>
      </w:r>
    </w:p>
    <w:p w:rsidR="00034907" w:rsidRPr="0076383F" w:rsidRDefault="002A3B4C" w:rsidP="0076383F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Flusso 0,</w:t>
      </w:r>
      <w:r w:rsidR="0068465E">
        <w:rPr>
          <w:rFonts w:ascii="Arial" w:hAnsi="Arial" w:cs="Arial"/>
          <w:sz w:val="20"/>
          <w:szCs w:val="20"/>
          <w:lang w:val="it-IT"/>
        </w:rPr>
        <w:t>4</w:t>
      </w:r>
      <w:r w:rsidR="00034907" w:rsidRPr="0076383F">
        <w:rPr>
          <w:rFonts w:ascii="Arial" w:hAnsi="Arial" w:cs="Arial"/>
          <w:sz w:val="20"/>
          <w:szCs w:val="20"/>
          <w:lang w:val="it-IT"/>
        </w:rPr>
        <w:t xml:space="preserve"> ml/</w:t>
      </w:r>
      <w:proofErr w:type="spellStart"/>
      <w:r w:rsidR="00034907" w:rsidRPr="0076383F">
        <w:rPr>
          <w:rFonts w:ascii="Arial" w:hAnsi="Arial" w:cs="Arial"/>
          <w:sz w:val="20"/>
          <w:szCs w:val="20"/>
          <w:lang w:val="it-IT"/>
        </w:rPr>
        <w:t>min</w:t>
      </w:r>
      <w:proofErr w:type="spellEnd"/>
    </w:p>
    <w:p w:rsidR="00034907" w:rsidRPr="0076383F" w:rsidRDefault="00034907" w:rsidP="00034907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 xml:space="preserve">- Temperatura di lavoro della colonna: </w:t>
      </w:r>
      <w:smartTag w:uri="urn:schemas-microsoft-com:office:smarttags" w:element="metricconverter">
        <w:smartTagPr>
          <w:attr w:name="ProductID" w:val="40 ﾰC"/>
        </w:smartTagPr>
        <w:r w:rsidRPr="0076383F">
          <w:rPr>
            <w:rFonts w:ascii="Arial" w:hAnsi="Arial" w:cs="Arial"/>
            <w:sz w:val="20"/>
            <w:szCs w:val="20"/>
            <w:lang w:val="it-IT"/>
          </w:rPr>
          <w:t>40 °C</w:t>
        </w:r>
      </w:smartTag>
    </w:p>
    <w:p w:rsidR="001376E9" w:rsidRDefault="00034907" w:rsidP="00034907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1376E9">
        <w:rPr>
          <w:rFonts w:ascii="Arial" w:hAnsi="Arial" w:cs="Arial"/>
          <w:sz w:val="20"/>
          <w:szCs w:val="20"/>
          <w:lang w:val="it-IT"/>
        </w:rPr>
        <w:lastRenderedPageBreak/>
        <w:t xml:space="preserve">- </w:t>
      </w:r>
      <w:r w:rsidR="001376E9" w:rsidRPr="001376E9">
        <w:rPr>
          <w:rFonts w:ascii="Arial" w:hAnsi="Arial" w:cs="Arial"/>
          <w:sz w:val="20"/>
          <w:szCs w:val="20"/>
          <w:lang w:val="it-IT"/>
        </w:rPr>
        <w:t xml:space="preserve">Volume d’iniezione: </w:t>
      </w:r>
      <w:r w:rsidR="00F23657">
        <w:rPr>
          <w:rFonts w:ascii="Arial" w:hAnsi="Arial" w:cs="Arial"/>
          <w:sz w:val="20"/>
          <w:szCs w:val="20"/>
          <w:lang w:val="it-IT"/>
        </w:rPr>
        <w:t>2</w:t>
      </w:r>
      <w:r w:rsidRPr="001376E9">
        <w:rPr>
          <w:rFonts w:ascii="Arial" w:hAnsi="Arial" w:cs="Arial"/>
          <w:sz w:val="20"/>
          <w:szCs w:val="20"/>
          <w:lang w:val="it-IT"/>
        </w:rPr>
        <w:t xml:space="preserve"> µl </w:t>
      </w:r>
    </w:p>
    <w:p w:rsidR="00F23657" w:rsidRDefault="00F23657" w:rsidP="00F2365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 Fase mobile: gradiente binario secondo il seguente schema:</w:t>
      </w:r>
    </w:p>
    <w:p w:rsidR="00F23657" w:rsidRDefault="00F23657" w:rsidP="00F23657">
      <w:pPr>
        <w:spacing w:line="240" w:lineRule="atLeast"/>
        <w:ind w:left="567" w:hanging="567"/>
        <w:jc w:val="both"/>
        <w:rPr>
          <w:rFonts w:ascii="Arial" w:hAnsi="Arial" w:cs="Arial"/>
          <w:sz w:val="20"/>
          <w:szCs w:val="20"/>
          <w:highlight w:val="yellow"/>
          <w:lang w:val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608"/>
        <w:gridCol w:w="1502"/>
        <w:gridCol w:w="1843"/>
      </w:tblGrid>
      <w:tr w:rsidR="00F23657" w:rsidTr="0041264C">
        <w:trPr>
          <w:jc w:val="center"/>
        </w:trPr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Tempo (minuti)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Soluzione acquosa acido formico per HPLC 0,05%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BC14D8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Acetonitrile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 per HPLC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Tipo di gradiente</w:t>
            </w: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</w:t>
            </w:r>
            <w:r w:rsidR="0041264C">
              <w:rPr>
                <w:rFonts w:ascii="Arial" w:hAnsi="Arial" w:cs="Arial"/>
                <w:sz w:val="20"/>
                <w:szCs w:val="20"/>
                <w:lang w:val="it-IT" w:eastAsia="en-US"/>
              </w:rPr>
              <w:t>6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70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25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27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41264C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41264C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B04BA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</w:tbl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highlight w:val="yellow"/>
          <w:lang w:val="it-IT"/>
        </w:rPr>
      </w:pPr>
    </w:p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- tipo di ionizzazione: ESI </w:t>
      </w:r>
    </w:p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 polarità: positiva</w:t>
      </w:r>
    </w:p>
    <w:p w:rsidR="00034907" w:rsidRDefault="00034907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A50C71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Ciascun partecipante dovrà eseguire le analisi in modalità MRM valutando lo ione molecolare ed i frammenti come indicati in tabella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1</w:t>
      </w:r>
    </w:p>
    <w:p w:rsidR="00A50C71" w:rsidRP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Ciascun partecipante potrà individuare fra quelli elencati il picco quantificatore e quello qualificatore</w:t>
      </w:r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 scelta tra le transizioni proposte (per ogni singolo </w:t>
      </w:r>
      <w:proofErr w:type="spellStart"/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c’è la possibilità di sostituire una sola delle transizioni riportate in Tabella 1 con un’altra trovata durante l’eventuale ottimizzazione dei parametri di frammentazione)</w:t>
      </w:r>
    </w:p>
    <w:p w:rsid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Tutte le transizioni dovranno essere inserite in un unico evento temporale senza alcuna suddivisione della corsa cromatografica in “segmenti” o “MRM dinamici”</w:t>
      </w:r>
    </w:p>
    <w:p w:rsid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Pena esclusione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lo spettrometro deve essere settato in modo tale che il picco cromatografico sia identificato da un minimo di 12 punti da acquisizione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</w:p>
    <w:p w:rsidR="001376E9" w:rsidRDefault="001376E9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65597B" w:rsidRPr="0065597B" w:rsidRDefault="0065597B" w:rsidP="006559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>NOTA: è possibile utilizzare la soluzione 1B per la messa a punto e ottimizzazione dei parametri dello strumento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spacing w:line="240" w:lineRule="atLeast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Q</w:t>
      </w:r>
      <w:r w:rsidRPr="00C53A01">
        <w:rPr>
          <w:rFonts w:ascii="Arial" w:hAnsi="Arial" w:cs="Arial"/>
          <w:sz w:val="32"/>
          <w:szCs w:val="32"/>
          <w:lang w:val="it-IT"/>
        </w:rPr>
        <w:t>uesiti analitici e presentazione dei risultati</w:t>
      </w:r>
    </w:p>
    <w:p w:rsidR="00FF225E" w:rsidRPr="00C53A01" w:rsidRDefault="00FF225E" w:rsidP="00146E32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>Di seguito viene specificato quanto richiesto nell’analisi delle soluzioni fornite</w:t>
      </w:r>
    </w:p>
    <w:p w:rsidR="00FF225E" w:rsidRPr="0065597B" w:rsidRDefault="00146E32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b/>
          <w:sz w:val="20"/>
          <w:szCs w:val="20"/>
          <w:lang w:val="it-IT" w:eastAsia="en-US"/>
        </w:rPr>
        <w:t>Soluzione 1 A:</w:t>
      </w: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dei parametri utilizzati per l’acquisizione dei dati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dei parametri del metodo strumentale usato per l’acquisizione dei dati. Devono essere presenti le condizioni di lavoro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UH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PLC e le condizioni di lavoro dello spettrometro di massa. Si deve dare prova che la stampa deriv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quanto memorizzato dallo strumento durante una delle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frammentazione)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i picchi cromatografici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almeno 2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registrat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durante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).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Nei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va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visualizzat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e </w:t>
      </w:r>
      <w:r w:rsidR="00541EEE">
        <w:rPr>
          <w:rFonts w:ascii="Arial" w:eastAsiaTheme="minorHAnsi" w:hAnsi="Arial" w:cs="Arial"/>
          <w:sz w:val="20"/>
          <w:szCs w:val="20"/>
          <w:lang w:val="it-IT" w:eastAsia="en-US"/>
        </w:rPr>
        <w:t>due delle tre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transizioni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riportare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ogni transizione</w:t>
      </w:r>
    </w:p>
    <w:p w:rsidR="00FF225E" w:rsidRPr="00C53A01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larghezza alla base in secondi [si deve desumere anche visivamente]</w:t>
      </w:r>
    </w:p>
    <w:p w:rsidR="00FF225E" w:rsidRPr="00C53A01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numero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di “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data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points</w:t>
      </w:r>
      <w:proofErr w:type="spellEnd"/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”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registrati dallo strumento (senza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) in tutta la larghezza del picco [si de</w:t>
      </w:r>
      <w:r w:rsidR="00B158D2">
        <w:rPr>
          <w:rFonts w:ascii="Arial" w:eastAsiaTheme="minorHAnsi" w:hAnsi="Arial" w:cs="Arial"/>
          <w:sz w:val="20"/>
          <w:szCs w:val="20"/>
          <w:lang w:val="it-IT" w:eastAsia="en-US"/>
        </w:rPr>
        <w:t>ve desumere anche visivamente]</w:t>
      </w:r>
    </w:p>
    <w:p w:rsidR="00FF225E" w:rsidRPr="00C53A01" w:rsidRDefault="00146E32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l’area</w:t>
      </w:r>
    </w:p>
    <w:p w:rsidR="00FF225E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il valore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del rapporto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segnale rumore (</w:t>
      </w:r>
      <w:r w:rsidRPr="00C53A01">
        <w:rPr>
          <w:rFonts w:ascii="Arial" w:eastAsiaTheme="minorHAnsi" w:hAnsi="Arial" w:cs="Arial"/>
          <w:i/>
          <w:sz w:val="20"/>
          <w:szCs w:val="20"/>
          <w:lang w:val="it-IT" w:eastAsia="en-US"/>
        </w:rPr>
        <w:t>s/n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transizione più elevata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utilizzando come rumore una porzione di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attigua al picco dell’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considerato</w:t>
      </w:r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(senza </w:t>
      </w:r>
      <w:proofErr w:type="spellStart"/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B158D2" w:rsidRDefault="00B158D2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Riportare inoltre 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 cui siano visibili tutti i picchi degli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in TIC in un’unica corsa cromatografica</w:t>
      </w:r>
    </w:p>
    <w:p w:rsidR="00FF225E" w:rsidRPr="00C53A01" w:rsidRDefault="00FF225E" w:rsidP="00146E32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frammentazione:</w:t>
      </w: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Si richi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ede di iniettare per 50 volte la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soluzion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settando lo strumento secondo quanto descritto nell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Tabelle precedenti relative alle condizioni strumentali</w:t>
      </w:r>
    </w:p>
    <w:p w:rsidR="00146E32" w:rsidRPr="00C53A01" w:rsidRDefault="00146E32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inoltre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di fornire:</w:t>
      </w:r>
    </w:p>
    <w:p w:rsidR="00146E32" w:rsidRDefault="00146E32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>Evidenza dell’arco temporale durante le quali sono state eseguite le 50 iniezioni (possibilmente consecutive)</w:t>
      </w:r>
    </w:p>
    <w:p w:rsidR="00146E32" w:rsidRDefault="00146E32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L’ area relativa a ciascuna transizione di ciascun composto in ognuna delle 50 iniezioni.</w:t>
      </w:r>
      <w:r w:rsidR="00FF225E"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Pr="00146E32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e ogni transizione l’area media ottenuta dalle 50 iniezioni, la deviazione standard e la deviazione standard relativa (CV%)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calcolate</w:t>
      </w: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FF225E" w:rsidRPr="00C53A01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(rapporto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intensa) ottenuto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ognuna delle 50 iniezioni </w:t>
      </w:r>
    </w:p>
    <w:p w:rsidR="00FF225E" w:rsidRPr="00C53A01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il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medio ottenuto dalle 50 iniezioni, la deviazione standard e la deviazione standard relativa (CV%).</w:t>
      </w:r>
    </w:p>
    <w:p w:rsidR="00FF225E" w:rsidRDefault="00FF225E" w:rsidP="00146E32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 xml:space="preserve">Al fine di uniformare la presentazione dei dati viene fornita un’apposita tabella di </w:t>
      </w:r>
      <w:proofErr w:type="spellStart"/>
      <w:r w:rsidRPr="00C53A01">
        <w:rPr>
          <w:rFonts w:ascii="Arial" w:hAnsi="Arial" w:cs="Arial"/>
          <w:sz w:val="20"/>
          <w:szCs w:val="20"/>
          <w:lang w:val="it-IT"/>
        </w:rPr>
        <w:t>excel</w:t>
      </w:r>
      <w:proofErr w:type="spellEnd"/>
      <w:r w:rsidRPr="00C53A01">
        <w:rPr>
          <w:rFonts w:ascii="Arial" w:hAnsi="Arial" w:cs="Arial"/>
          <w:sz w:val="20"/>
          <w:szCs w:val="20"/>
          <w:lang w:val="it-IT"/>
        </w:rPr>
        <w:t xml:space="preserve"> (Allegato </w:t>
      </w:r>
      <w:r w:rsidR="00721D00">
        <w:rPr>
          <w:rFonts w:ascii="Arial" w:hAnsi="Arial" w:cs="Arial"/>
          <w:sz w:val="20"/>
          <w:szCs w:val="20"/>
          <w:lang w:val="it-IT"/>
        </w:rPr>
        <w:t>C</w:t>
      </w:r>
      <w:r>
        <w:rPr>
          <w:rFonts w:ascii="Arial" w:hAnsi="Arial" w:cs="Arial"/>
          <w:sz w:val="20"/>
          <w:szCs w:val="20"/>
          <w:lang w:val="it-IT"/>
        </w:rPr>
        <w:t xml:space="preserve"> -</w:t>
      </w:r>
      <w:r w:rsidRPr="00613EF4"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hAnsi="Arial" w:cs="Arial"/>
          <w:sz w:val="20"/>
          <w:szCs w:val="20"/>
          <w:lang w:val="it-IT"/>
        </w:rPr>
        <w:t>Tabella Dati</w:t>
      </w:r>
      <w:r w:rsidR="005C33EB">
        <w:rPr>
          <w:rFonts w:ascii="Arial" w:hAnsi="Arial" w:cs="Arial"/>
          <w:sz w:val="20"/>
          <w:szCs w:val="20"/>
          <w:lang w:val="it-IT"/>
        </w:rPr>
        <w:t xml:space="preserve"> Farmaci anabolizzanti</w:t>
      </w:r>
      <w:r w:rsidRPr="00C53A01">
        <w:rPr>
          <w:rFonts w:ascii="Arial" w:hAnsi="Arial" w:cs="Arial"/>
          <w:sz w:val="20"/>
          <w:szCs w:val="20"/>
          <w:lang w:val="it-IT"/>
        </w:rPr>
        <w:t>) da compilare e consegnare.</w:t>
      </w:r>
    </w:p>
    <w:p w:rsidR="009B2DF4" w:rsidRDefault="009B2DF4" w:rsidP="00FF225E">
      <w:pPr>
        <w:spacing w:line="240" w:lineRule="atLeast"/>
        <w:rPr>
          <w:rFonts w:ascii="Arial" w:hAnsi="Arial" w:cs="Arial"/>
          <w:sz w:val="20"/>
          <w:szCs w:val="20"/>
          <w:lang w:val="it-IT"/>
        </w:rPr>
      </w:pPr>
    </w:p>
    <w:p w:rsidR="009B2DF4" w:rsidRDefault="007A4006" w:rsidP="009B2DF4">
      <w:pPr>
        <w:autoSpaceDE w:val="0"/>
        <w:autoSpaceDN w:val="0"/>
        <w:adjustRightInd w:val="0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Valutazione e a</w:t>
      </w:r>
      <w:r w:rsidR="009B2DF4" w:rsidRPr="00C53A01">
        <w:rPr>
          <w:rFonts w:ascii="Arial" w:hAnsi="Arial" w:cs="Arial"/>
          <w:sz w:val="32"/>
          <w:szCs w:val="32"/>
          <w:lang w:val="it-IT"/>
        </w:rPr>
        <w:t>ttribuzione dei punteggi</w:t>
      </w:r>
    </w:p>
    <w:p w:rsidR="009B2DF4" w:rsidRDefault="009B2DF4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9B2DF4" w:rsidRDefault="000756EF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P</w:t>
      </w:r>
      <w:r w:rsidR="009B2DF4" w:rsidRPr="009519CA"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ena esclusione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</w:t>
      </w:r>
      <w:r w:rsidR="009B2DF4" w:rsidRPr="009519CA">
        <w:rPr>
          <w:rFonts w:ascii="Arial" w:eastAsiaTheme="minorHAnsi" w:hAnsi="Arial" w:cs="Arial"/>
          <w:sz w:val="20"/>
          <w:szCs w:val="20"/>
          <w:lang w:val="it-IT" w:eastAsia="en-US"/>
        </w:rPr>
        <w:t xml:space="preserve">tutti gli </w:t>
      </w:r>
      <w:proofErr w:type="spellStart"/>
      <w:r w:rsidR="009B2DF4" w:rsidRPr="009519CA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nella soluzione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dovranno</w:t>
      </w:r>
      <w:r w:rsidR="009B2DF4" w:rsidRPr="00E650CC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essere</w:t>
      </w:r>
      <w:r w:rsidR="009B2DF4" w:rsidRPr="00BD5EA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individuati e dovranno rispettare i seguenti vincoli:</w:t>
      </w:r>
    </w:p>
    <w:p w:rsidR="009B2DF4" w:rsidRPr="00E819F8" w:rsidRDefault="009B2DF4" w:rsidP="001A778C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del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l’area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transizione più intensa (picco base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ottenuta dalle 50 iniezioni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: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≤ 10.0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;</w:t>
      </w:r>
    </w:p>
    <w:p w:rsidR="009B2DF4" w:rsidRPr="00C52229" w:rsidRDefault="009B2DF4" w:rsidP="00C5222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Valori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del rapporto ionico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 (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rapporto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o dalle 50 iniezioni: 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>≤ 20.0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C52229" w:rsidRPr="00C53A01" w:rsidRDefault="00C52229" w:rsidP="00C5222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tempo di ritenzione di ciascun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dovrà variare di più del 2,5% rispetto alla prima iniezione </w:t>
      </w:r>
    </w:p>
    <w:p w:rsidR="00C52229" w:rsidRPr="00223C07" w:rsidRDefault="00C52229" w:rsidP="00C52229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9B2DF4" w:rsidRDefault="009B2DF4" w:rsidP="009B2D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punteggi verranno attribuiti in relazione ai seguenti parametri:</w:t>
      </w:r>
    </w:p>
    <w:p w:rsidR="009B2DF4" w:rsidRPr="007A4006" w:rsidRDefault="009B2DF4" w:rsidP="007A4006">
      <w:pPr>
        <w:autoSpaceDE w:val="0"/>
        <w:autoSpaceDN w:val="0"/>
        <w:adjustRightInd w:val="0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Deviazione standard relativa (CV%) dell’area della transizione più intensa (picco base) ottenuta dalle 50 iniezioni</w:t>
      </w:r>
      <w:r w:rsidR="007A4006"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:</w:t>
      </w:r>
    </w:p>
    <w:p w:rsidR="000756EF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er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,4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 partecipante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che ha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standard relativa (CV%) inferiore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Al partecipante che </w:t>
      </w:r>
      <w:r w:rsidR="00BF402E">
        <w:rPr>
          <w:rFonts w:ascii="Arial" w:eastAsiaTheme="minorHAnsi" w:hAnsi="Arial" w:cs="Arial"/>
          <w:sz w:val="20"/>
          <w:szCs w:val="20"/>
          <w:lang w:val="it-IT" w:eastAsia="en-US"/>
        </w:rPr>
        <w:t>risulterà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avere il maggior numero di deviazion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="000756EF"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0756EF" w:rsidRDefault="000756EF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,40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F62F6A">
        <w:rPr>
          <w:rFonts w:ascii="Arial" w:eastAsiaTheme="minorHAnsi" w:hAnsi="Arial" w:cs="Arial"/>
          <w:sz w:val="20"/>
          <w:szCs w:val="20"/>
          <w:lang w:val="it-IT" w:eastAsia="en-US"/>
        </w:rPr>
        <w:t>30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12,5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punti)</w:t>
      </w:r>
    </w:p>
    <w:p w:rsidR="007A4006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7A4006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0756EF" w:rsidRPr="00314E05" w:rsidRDefault="000756EF" w:rsidP="000756EF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0.4×CV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0756EF" w:rsidRPr="004F1CB9" w:rsidRDefault="000756EF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B2DF4" w:rsidRDefault="009B2DF4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BF402E" w:rsidRPr="00BF402E" w:rsidRDefault="00BF402E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B2DF4" w:rsidRPr="004F1CB9" w:rsidRDefault="009B2DF4" w:rsidP="004F1CB9">
      <w:pPr>
        <w:autoSpaceDE w:val="0"/>
        <w:autoSpaceDN w:val="0"/>
        <w:adjustRightInd w:val="0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Deviazione standard relativa (CV%) del 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rapporto ionico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% (rapporto %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fra 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area transizione meno intensa contro area transizione più inten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sa) ottenuto dalle 50 iniezioni:</w:t>
      </w:r>
    </w:p>
    <w:p w:rsidR="004F1CB9" w:rsidRDefault="009B2DF4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 w:rsidR="007E493F"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40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alla ditta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ndard relativa (CV%) inferiore. Al partecipante che risulterà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risulta avere il maggior numero di deviazion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="004F1CB9"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4F1CB9" w:rsidRDefault="004F1CB9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,40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F62F6A">
        <w:rPr>
          <w:rFonts w:ascii="Arial" w:eastAsiaTheme="minorHAnsi" w:hAnsi="Arial" w:cs="Arial"/>
          <w:sz w:val="20"/>
          <w:szCs w:val="20"/>
          <w:lang w:val="it-IT" w:eastAsia="en-US"/>
        </w:rPr>
        <w:t>30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12,5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punti)</w:t>
      </w:r>
    </w:p>
    <w:p w:rsidR="004F1CB9" w:rsidRDefault="004F1CB9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1A778C" w:rsidRDefault="001A778C" w:rsidP="009B2DF4">
      <w:pPr>
        <w:pStyle w:val="Paragrafoelenco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B2DF4" w:rsidRPr="001A778C" w:rsidRDefault="009B2DF4" w:rsidP="009B2DF4">
      <w:pPr>
        <w:pStyle w:val="Paragrafoelenco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highlight w:val="yellow"/>
          <w:lang w:val="it-IT" w:eastAsia="en-US"/>
        </w:rPr>
      </w:pPr>
    </w:p>
    <w:p w:rsidR="003F36F3" w:rsidRPr="00314E05" w:rsidRDefault="003F36F3" w:rsidP="003F36F3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0.4×CV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9B2DF4" w:rsidRDefault="009B2DF4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1A778C" w:rsidRDefault="001A778C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E9132B" w:rsidRDefault="00E9132B" w:rsidP="00352C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32B" w:rsidRDefault="00E9132B" w:rsidP="00352C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tutti i coefficienti verranno espressi con 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cifr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decimal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senza </w:t>
      </w:r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>arrotondamenti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sulla seconda</w:t>
      </w:r>
    </w:p>
    <w:p w:rsidR="00C83FD3" w:rsidRDefault="00C83FD3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E91CB9" w:rsidRPr="00352C60" w:rsidRDefault="00E91CB9" w:rsidP="00E91CB9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352C60">
        <w:rPr>
          <w:rFonts w:ascii="Arial" w:hAnsi="Arial" w:cs="Arial"/>
          <w:b/>
          <w:sz w:val="36"/>
          <w:szCs w:val="36"/>
          <w:lang w:val="it-IT"/>
        </w:rPr>
        <w:t xml:space="preserve">soluzione </w:t>
      </w:r>
      <w:r w:rsidR="00C83FD3" w:rsidRPr="00352C60">
        <w:rPr>
          <w:rFonts w:ascii="Arial" w:hAnsi="Arial" w:cs="Arial"/>
          <w:b/>
          <w:sz w:val="36"/>
          <w:szCs w:val="36"/>
          <w:lang w:val="it-IT"/>
        </w:rPr>
        <w:t>2</w:t>
      </w:r>
      <w:r w:rsidRPr="00352C60">
        <w:rPr>
          <w:rFonts w:ascii="Arial" w:hAnsi="Arial" w:cs="Arial"/>
          <w:b/>
          <w:sz w:val="36"/>
          <w:szCs w:val="36"/>
          <w:lang w:val="it-IT"/>
        </w:rPr>
        <w:t xml:space="preserve"> </w:t>
      </w:r>
    </w:p>
    <w:p w:rsidR="00FB13C1" w:rsidRDefault="00FB13C1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Vengono fornite a ciascun partecipante due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vial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contenenti la soluzione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: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A e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B</w:t>
      </w:r>
    </w:p>
    <w:p w:rsidR="003768F4" w:rsidRDefault="00E91CB9" w:rsidP="003768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Entrambe le soluzioni contengono gli </w:t>
      </w:r>
      <w:proofErr w:type="spellStart"/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indicati in tabella: miscela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8D04CD">
        <w:rPr>
          <w:rFonts w:ascii="Arial" w:eastAsiaTheme="minorHAnsi" w:hAnsi="Arial" w:cs="Arial"/>
          <w:sz w:val="20"/>
          <w:szCs w:val="20"/>
          <w:lang w:val="it-IT" w:eastAsia="en-US"/>
        </w:rPr>
        <w:t>lattoni acido resorcilico</w:t>
      </w:r>
      <w:r w:rsidR="00713A11" w:rsidRP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come indicato in tabella 2: non necessariamente saranno presenti tutti gli </w:t>
      </w:r>
      <w:proofErr w:type="spellStart"/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. Ciascun partecipante dovrà eseguire le analisi in modalità MRM valutando lo ione molecolare ed i frammenti come indicati in tabella</w:t>
      </w: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713A11" w:rsidRDefault="00713A11" w:rsidP="00713A1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Tabella 1: molecole da valutare, ioni padre, quantificatori e qualificatori.</w:t>
      </w:r>
    </w:p>
    <w:p w:rsidR="00B70316" w:rsidRDefault="00B70316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984"/>
        <w:gridCol w:w="1323"/>
        <w:gridCol w:w="2173"/>
        <w:gridCol w:w="992"/>
        <w:gridCol w:w="851"/>
        <w:gridCol w:w="803"/>
      </w:tblGrid>
      <w:tr w:rsidR="00F62F6A" w:rsidRPr="002960BD" w:rsidTr="00F62F6A">
        <w:trPr>
          <w:tblHeader/>
          <w:jc w:val="center"/>
        </w:trPr>
        <w:tc>
          <w:tcPr>
            <w:tcW w:w="1508" w:type="dxa"/>
            <w:vMerge w:val="restart"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sz w:val="20"/>
                <w:szCs w:val="20"/>
                <w:lang w:val="it-IT"/>
              </w:rPr>
              <w:t>ORDINE DI ELUIZIONE**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sz w:val="20"/>
                <w:szCs w:val="20"/>
                <w:lang w:val="it-IT"/>
              </w:rPr>
              <w:t xml:space="preserve">NOME ANALITA </w:t>
            </w:r>
          </w:p>
        </w:tc>
        <w:tc>
          <w:tcPr>
            <w:tcW w:w="3496" w:type="dxa"/>
            <w:gridSpan w:val="2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PRECURSORE</w:t>
            </w:r>
          </w:p>
        </w:tc>
        <w:tc>
          <w:tcPr>
            <w:tcW w:w="2646" w:type="dxa"/>
            <w:gridSpan w:val="3"/>
            <w:vAlign w:val="center"/>
          </w:tcPr>
          <w:p w:rsidR="00F62F6A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TRANSIZIONI</w:t>
            </w:r>
          </w:p>
        </w:tc>
      </w:tr>
      <w:tr w:rsidR="00F62F6A" w:rsidRPr="002960BD" w:rsidTr="00F62F6A">
        <w:trPr>
          <w:tblHeader/>
          <w:jc w:val="center"/>
        </w:trPr>
        <w:tc>
          <w:tcPr>
            <w:tcW w:w="1508" w:type="dxa"/>
            <w:vMerge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323" w:type="dxa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>Formula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i/>
                <w:sz w:val="20"/>
                <w:szCs w:val="20"/>
                <w:lang w:val="it-IT"/>
              </w:rPr>
              <w:t>m/z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</w:p>
        </w:tc>
        <w:tc>
          <w:tcPr>
            <w:tcW w:w="803" w:type="dxa"/>
          </w:tcPr>
          <w:p w:rsidR="00F62F6A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</w:t>
            </w: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Taleranolo</w:t>
            </w:r>
            <w:proofErr w:type="spellEnd"/>
          </w:p>
        </w:tc>
        <w:tc>
          <w:tcPr>
            <w:tcW w:w="1323" w:type="dxa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321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277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303</w:t>
            </w:r>
          </w:p>
        </w:tc>
        <w:tc>
          <w:tcPr>
            <w:tcW w:w="803" w:type="dxa"/>
          </w:tcPr>
          <w:p w:rsidR="00F62F6A" w:rsidRDefault="00F62F6A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Zeranolo</w:t>
            </w:r>
            <w:proofErr w:type="spellEnd"/>
          </w:p>
        </w:tc>
        <w:tc>
          <w:tcPr>
            <w:tcW w:w="1323" w:type="dxa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321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277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303</w:t>
            </w:r>
          </w:p>
        </w:tc>
        <w:tc>
          <w:tcPr>
            <w:tcW w:w="803" w:type="dxa"/>
          </w:tcPr>
          <w:p w:rsidR="00F62F6A" w:rsidRDefault="00F62F6A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D60D3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F74274" w:rsidRDefault="00F62F6A" w:rsidP="00D60D3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β-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Zeraralenolo</w:t>
            </w:r>
            <w:proofErr w:type="spellEnd"/>
          </w:p>
        </w:tc>
        <w:tc>
          <w:tcPr>
            <w:tcW w:w="1323" w:type="dxa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319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D60D3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275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160</w:t>
            </w:r>
          </w:p>
        </w:tc>
        <w:tc>
          <w:tcPr>
            <w:tcW w:w="803" w:type="dxa"/>
          </w:tcPr>
          <w:p w:rsidR="00F62F6A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130</w:t>
            </w: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C75AB1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α-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Zeraralenolo</w:t>
            </w:r>
            <w:proofErr w:type="spellEnd"/>
          </w:p>
        </w:tc>
        <w:tc>
          <w:tcPr>
            <w:tcW w:w="1323" w:type="dxa"/>
          </w:tcPr>
          <w:p w:rsidR="00F62F6A" w:rsidRPr="00C75AB1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319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275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160</w:t>
            </w:r>
          </w:p>
        </w:tc>
        <w:tc>
          <w:tcPr>
            <w:tcW w:w="803" w:type="dxa"/>
          </w:tcPr>
          <w:p w:rsidR="00F62F6A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130</w:t>
            </w: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B378B3" w:rsidRDefault="00F62F6A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Zearalenone</w:t>
            </w:r>
            <w:proofErr w:type="spellEnd"/>
          </w:p>
        </w:tc>
        <w:tc>
          <w:tcPr>
            <w:tcW w:w="1323" w:type="dxa"/>
          </w:tcPr>
          <w:p w:rsidR="00F62F6A" w:rsidRPr="00B378B3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317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175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131</w:t>
            </w:r>
          </w:p>
        </w:tc>
        <w:tc>
          <w:tcPr>
            <w:tcW w:w="803" w:type="dxa"/>
          </w:tcPr>
          <w:p w:rsidR="00F62F6A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273</w:t>
            </w:r>
          </w:p>
        </w:tc>
      </w:tr>
      <w:tr w:rsidR="00F62F6A" w:rsidRPr="002960BD" w:rsidTr="00F62F6A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F6A" w:rsidRPr="00B378B3" w:rsidRDefault="00F62F6A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Zearalanone</w:t>
            </w:r>
            <w:proofErr w:type="spellEnd"/>
          </w:p>
        </w:tc>
        <w:tc>
          <w:tcPr>
            <w:tcW w:w="1323" w:type="dxa"/>
          </w:tcPr>
          <w:p w:rsidR="00F62F6A" w:rsidRPr="00B378B3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[M-H]</w:t>
            </w:r>
            <w:r w:rsidRPr="008D04CD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it-IT"/>
              </w:rPr>
              <w:t>-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319</w:t>
            </w:r>
          </w:p>
        </w:tc>
        <w:tc>
          <w:tcPr>
            <w:tcW w:w="992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275</w:t>
            </w:r>
          </w:p>
        </w:tc>
        <w:tc>
          <w:tcPr>
            <w:tcW w:w="851" w:type="dxa"/>
            <w:vAlign w:val="center"/>
          </w:tcPr>
          <w:p w:rsidR="00F62F6A" w:rsidRPr="00F74274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205</w:t>
            </w:r>
          </w:p>
        </w:tc>
        <w:tc>
          <w:tcPr>
            <w:tcW w:w="803" w:type="dxa"/>
          </w:tcPr>
          <w:p w:rsidR="00F62F6A" w:rsidRDefault="00F62F6A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161</w:t>
            </w:r>
          </w:p>
        </w:tc>
      </w:tr>
    </w:tbl>
    <w:p w:rsidR="009604AD" w:rsidRDefault="009604AD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604AD" w:rsidRDefault="009604AD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B13C1" w:rsidRPr="0076383F" w:rsidRDefault="00FB13C1" w:rsidP="00FB13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Colonna cromatografica </w:t>
      </w:r>
      <w:r w:rsidR="00045BE1">
        <w:rPr>
          <w:rFonts w:ascii="Arial" w:eastAsiaTheme="minorHAnsi" w:hAnsi="Arial" w:cs="Arial"/>
          <w:sz w:val="20"/>
          <w:szCs w:val="20"/>
          <w:lang w:val="it-IT" w:eastAsia="en-US"/>
        </w:rPr>
        <w:t>C18 Waters X Select HSS T3 2,5 µm (lunghezza 10 cm, diametro interno (ID) 3 mm, diametro medio delle particelle 2,5 µm</w:t>
      </w:r>
    </w:p>
    <w:p w:rsidR="00FB13C1" w:rsidRPr="00713A11" w:rsidRDefault="00FB13C1" w:rsidP="00FB13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>Flusso 0,3 ml/</w:t>
      </w:r>
      <w:proofErr w:type="spellStart"/>
      <w:r w:rsidRPr="00713A11">
        <w:rPr>
          <w:rFonts w:ascii="Arial" w:hAnsi="Arial" w:cs="Arial"/>
          <w:sz w:val="20"/>
          <w:szCs w:val="20"/>
          <w:lang w:val="it-IT"/>
        </w:rPr>
        <w:t>min</w:t>
      </w:r>
      <w:proofErr w:type="spellEnd"/>
    </w:p>
    <w:p w:rsidR="00FB13C1" w:rsidRPr="00713A11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highlight w:val="yellow"/>
          <w:lang w:val="it-IT"/>
        </w:rPr>
      </w:pPr>
      <w:r w:rsidRPr="00045BE1">
        <w:rPr>
          <w:rFonts w:ascii="Arial" w:hAnsi="Arial" w:cs="Arial"/>
          <w:sz w:val="20"/>
          <w:szCs w:val="20"/>
          <w:lang w:val="it-IT"/>
        </w:rPr>
        <w:t xml:space="preserve">- Temperatura di lavoro della colonna: </w:t>
      </w:r>
      <w:smartTag w:uri="urn:schemas-microsoft-com:office:smarttags" w:element="metricconverter">
        <w:smartTagPr>
          <w:attr w:name="ProductID" w:val="40 ﾰC"/>
        </w:smartTagPr>
        <w:r w:rsidRPr="00045BE1">
          <w:rPr>
            <w:rFonts w:ascii="Arial" w:hAnsi="Arial" w:cs="Arial"/>
            <w:sz w:val="20"/>
            <w:szCs w:val="20"/>
            <w:lang w:val="it-IT"/>
          </w:rPr>
          <w:t>40 °C</w:t>
        </w:r>
      </w:smartTag>
    </w:p>
    <w:p w:rsidR="00FB13C1" w:rsidRPr="00713A11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 xml:space="preserve">- Volume d’iniezione: </w:t>
      </w:r>
      <w:r w:rsidR="00A34874">
        <w:rPr>
          <w:rFonts w:ascii="Arial" w:hAnsi="Arial" w:cs="Arial"/>
          <w:sz w:val="20"/>
          <w:szCs w:val="20"/>
          <w:lang w:val="it-IT"/>
        </w:rPr>
        <w:t>2</w:t>
      </w:r>
      <w:r w:rsidRPr="00713A11">
        <w:rPr>
          <w:rFonts w:ascii="Arial" w:hAnsi="Arial" w:cs="Arial"/>
          <w:sz w:val="20"/>
          <w:szCs w:val="20"/>
          <w:lang w:val="it-IT"/>
        </w:rPr>
        <w:t xml:space="preserve"> µl </w:t>
      </w:r>
    </w:p>
    <w:p w:rsidR="00FB13C1" w:rsidRPr="0076383F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>- Fase mobile: gradiente binario secondo il seguente schema:</w:t>
      </w:r>
    </w:p>
    <w:p w:rsidR="00FB13C1" w:rsidRDefault="00FB13C1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701"/>
        <w:gridCol w:w="2409"/>
        <w:gridCol w:w="1843"/>
      </w:tblGrid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Tempo (minuti)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 xml:space="preserve">Acqua </w:t>
            </w:r>
            <w:r w:rsidR="00045BE1">
              <w:rPr>
                <w:rFonts w:ascii="Arial" w:hAnsi="Arial" w:cs="Arial"/>
                <w:sz w:val="20"/>
                <w:szCs w:val="20"/>
                <w:lang w:val="it-IT"/>
              </w:rPr>
              <w:t>deionizzata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Acetonitrile</w:t>
            </w:r>
            <w:proofErr w:type="spellEnd"/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Tipo di gradiente</w:t>
            </w: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50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2,50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40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60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Lineare</w:t>
            </w: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Lineare</w:t>
            </w:r>
          </w:p>
        </w:tc>
      </w:tr>
      <w:tr w:rsidR="00713A11" w:rsidRPr="002960BD" w:rsidTr="00CC5542">
        <w:trPr>
          <w:jc w:val="center"/>
        </w:trPr>
        <w:tc>
          <w:tcPr>
            <w:tcW w:w="2197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7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2960BD" w:rsidTr="00CC5542">
        <w:trPr>
          <w:jc w:val="center"/>
        </w:trPr>
        <w:tc>
          <w:tcPr>
            <w:tcW w:w="2197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701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2409" w:type="dxa"/>
          </w:tcPr>
          <w:p w:rsidR="00713A11" w:rsidRPr="009A0282" w:rsidRDefault="00045BE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="00713A11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713A11" w:rsidRDefault="00713A11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713A11" w:rsidRPr="0076383F" w:rsidRDefault="00713A11" w:rsidP="00713A11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 xml:space="preserve">- tipo di ionizzazione: ESI </w:t>
      </w:r>
    </w:p>
    <w:p w:rsidR="00713A11" w:rsidRPr="0076383F" w:rsidRDefault="00713A11" w:rsidP="00713A11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>- polarità: positiva</w:t>
      </w:r>
      <w:r>
        <w:rPr>
          <w:rFonts w:ascii="Arial" w:hAnsi="Arial" w:cs="Arial"/>
          <w:sz w:val="20"/>
          <w:szCs w:val="20"/>
          <w:lang w:val="it-IT"/>
        </w:rPr>
        <w:t>/negativo</w:t>
      </w: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6B6266" w:rsidRDefault="00E91CB9" w:rsidP="006B6266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Ciascun partecipante potrà individuare fra quelli elencati il picco quantificatore e quello qualificatore</w:t>
      </w:r>
      <w:r w:rsidR="006B6266" w:rsidRP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 scelta tra le transizioni proposte (per ogni singolo </w:t>
      </w:r>
      <w:proofErr w:type="spellStart"/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c’è la possibilità di sostituire una sola delle transizioni riportate in Tabella </w:t>
      </w:r>
      <w:r w:rsidR="00721D00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 w:rsidR="006B6266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 un’altra trovata durante l’eventuale ottimizzazione dei parametri di frammentazione)</w:t>
      </w:r>
    </w:p>
    <w:p w:rsidR="00E91CB9" w:rsidRDefault="00E91CB9" w:rsidP="00E91CB9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Tutte le transizioni dovranno essere inserite in un unico evento temporale senza alcuna suddivisione della corsa cromatografica in “segmenti” o “MRM dinamici”</w:t>
      </w:r>
    </w:p>
    <w:p w:rsidR="00E91CB9" w:rsidRDefault="00E91CB9" w:rsidP="00A30C08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Pena esclusione lo spettrometro deve essere settato in modo tale che il picco cromatografico sia identificato da un minimo di 12 punti da acquisizione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</w:p>
    <w:p w:rsidR="00E91CB9" w:rsidRPr="0065597B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è possibile utilizzare la soluzione </w:t>
      </w:r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>B per la messa a punto e ottimizzazione dei parametri dello strumento</w:t>
      </w:r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C53A01" w:rsidRDefault="00E91CB9" w:rsidP="00A30C08">
      <w:pPr>
        <w:spacing w:line="240" w:lineRule="atLeast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Q</w:t>
      </w:r>
      <w:r w:rsidRPr="00C53A01">
        <w:rPr>
          <w:rFonts w:ascii="Arial" w:hAnsi="Arial" w:cs="Arial"/>
          <w:sz w:val="32"/>
          <w:szCs w:val="32"/>
          <w:lang w:val="it-IT"/>
        </w:rPr>
        <w:t>uesiti analitici e presentazione dei risultati</w:t>
      </w:r>
    </w:p>
    <w:p w:rsidR="00E91CB9" w:rsidRPr="00C53A01" w:rsidRDefault="00E91CB9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>Di seguito viene specificato quanto richiesto nell’analisi delle soluzioni fornite</w:t>
      </w:r>
    </w:p>
    <w:p w:rsidR="00E91CB9" w:rsidRPr="0065597B" w:rsidRDefault="00160C60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Soluzione </w:t>
      </w:r>
      <w:r w:rsidR="00CC5542">
        <w:rPr>
          <w:rFonts w:ascii="Arial" w:eastAsiaTheme="minorHAnsi" w:hAnsi="Arial" w:cs="Arial"/>
          <w:b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</w:t>
      </w:r>
      <w:r w:rsidR="00CC5542">
        <w:rPr>
          <w:rFonts w:ascii="Arial" w:eastAsiaTheme="minorHAnsi" w:hAnsi="Arial" w:cs="Arial"/>
          <w:b/>
          <w:sz w:val="20"/>
          <w:szCs w:val="20"/>
          <w:lang w:val="it-IT" w:eastAsia="en-US"/>
        </w:rPr>
        <w:t>A</w:t>
      </w:r>
      <w:r w:rsidR="00E91CB9" w:rsidRPr="0065597B">
        <w:rPr>
          <w:rFonts w:ascii="Arial" w:eastAsiaTheme="minorHAnsi" w:hAnsi="Arial" w:cs="Arial"/>
          <w:b/>
          <w:sz w:val="20"/>
          <w:szCs w:val="20"/>
          <w:lang w:val="it-IT" w:eastAsia="en-US"/>
        </w:rPr>
        <w:t>:</w:t>
      </w: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dei parametri utilizzati per l’acquisizione dei dati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dei parametri del metodo strumentale usato per l’acquisizione dei dati. Devono essere presenti le condizioni di lavoro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UH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PLC e le condizioni di lavoro dello spettrometro di massa. Si deve dare prova che la stampa deriv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quanto memorizzato dallo strumento durante una delle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frammentazione)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i picchi cromatografici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almeno 2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registrat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 durante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).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 xml:space="preserve">Nei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va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visualizzat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 entrambe le transizioni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riportare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ogni transizione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larghezza alla base in secondi [si deve desumere anche visivamente]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numero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di “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data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points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”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registrati dallo strumento (senza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) in tutta la larghezza del picco [si de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ve desumere anche visivamente]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l’area</w:t>
      </w:r>
    </w:p>
    <w:p w:rsidR="00CC5542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il valore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del rapporto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segnale rumore (</w:t>
      </w:r>
      <w:r w:rsidRPr="00C53A01">
        <w:rPr>
          <w:rFonts w:ascii="Arial" w:eastAsiaTheme="minorHAnsi" w:hAnsi="Arial" w:cs="Arial"/>
          <w:i/>
          <w:sz w:val="20"/>
          <w:szCs w:val="20"/>
          <w:lang w:val="it-IT" w:eastAsia="en-US"/>
        </w:rPr>
        <w:t>s/n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transizione più elevata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utilizzando come rumore una porzione di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attigua al picco dell’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considerato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CC5542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Riportare inoltre 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 cui siano visibili tutti i picchi degli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in TIC in un’unica corsa cromatografica</w:t>
      </w:r>
    </w:p>
    <w:p w:rsidR="00CC5542" w:rsidRPr="00C53A01" w:rsidRDefault="00CC5542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frammentazione:</w:t>
      </w: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Si richi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ede di iniettare per 50 volte la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soluzion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settando lo strumento secondo quanto descritto nell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Tabelle precedenti relative alle condizioni strumentali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inoltre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di fornire:</w:t>
      </w:r>
    </w:p>
    <w:p w:rsidR="00CC554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Evidenza dell’arco temporale durante le quali sono state eseguite le 50 iniezioni (possibilmente consecutive)</w:t>
      </w:r>
    </w:p>
    <w:p w:rsidR="00CC554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 area relativa a ciascuna transizione di ciascun composto in ognuna delle 50 iniezioni. </w:t>
      </w:r>
    </w:p>
    <w:p w:rsidR="00CC5542" w:rsidRPr="00146E3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e ogni transizione l’area media ottenuta dalle 50 iniezioni, la deviazione standard e la deviazione standard relativa (CV%)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calcolate</w:t>
      </w: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CC5542" w:rsidRPr="00C53A01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(rapporto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intensa) ottenuto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ognuna delle 50 iniezioni </w:t>
      </w:r>
    </w:p>
    <w:p w:rsidR="00CC5542" w:rsidRPr="00C53A01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il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medio ottenuto dalle 50 iniezioni, la deviazione standard e la deviazione standard relativa (CV%).</w:t>
      </w:r>
    </w:p>
    <w:p w:rsidR="00CC5542" w:rsidRDefault="00CC5542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 xml:space="preserve">Al fine di uniformare la presentazione dei dati viene fornita un’apposita tabella di </w:t>
      </w:r>
      <w:proofErr w:type="spellStart"/>
      <w:r w:rsidRPr="00C53A01">
        <w:rPr>
          <w:rFonts w:ascii="Arial" w:hAnsi="Arial" w:cs="Arial"/>
          <w:sz w:val="20"/>
          <w:szCs w:val="20"/>
          <w:lang w:val="it-IT"/>
        </w:rPr>
        <w:t>excel</w:t>
      </w:r>
      <w:proofErr w:type="spellEnd"/>
      <w:r w:rsidRPr="00C53A01">
        <w:rPr>
          <w:rFonts w:ascii="Arial" w:hAnsi="Arial" w:cs="Arial"/>
          <w:sz w:val="20"/>
          <w:szCs w:val="20"/>
          <w:lang w:val="it-IT"/>
        </w:rPr>
        <w:t xml:space="preserve"> (Allegato </w:t>
      </w:r>
      <w:r w:rsidR="009432C6">
        <w:rPr>
          <w:rFonts w:ascii="Arial" w:hAnsi="Arial" w:cs="Arial"/>
          <w:sz w:val="20"/>
          <w:szCs w:val="20"/>
          <w:lang w:val="it-IT"/>
        </w:rPr>
        <w:t>D</w:t>
      </w:r>
      <w:r>
        <w:rPr>
          <w:rFonts w:ascii="Arial" w:hAnsi="Arial" w:cs="Arial"/>
          <w:sz w:val="20"/>
          <w:szCs w:val="20"/>
          <w:lang w:val="it-IT"/>
        </w:rPr>
        <w:t xml:space="preserve"> -</w:t>
      </w:r>
      <w:r w:rsidRPr="00613EF4"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hAnsi="Arial" w:cs="Arial"/>
          <w:sz w:val="20"/>
          <w:szCs w:val="20"/>
          <w:lang w:val="it-IT"/>
        </w:rPr>
        <w:t>Tabella Dati</w:t>
      </w:r>
      <w:r w:rsidR="009432C6">
        <w:rPr>
          <w:rFonts w:ascii="Arial" w:hAnsi="Arial" w:cs="Arial"/>
          <w:sz w:val="20"/>
          <w:szCs w:val="20"/>
          <w:lang w:val="it-IT"/>
        </w:rPr>
        <w:t xml:space="preserve"> Lattoni Acido resorcilico</w:t>
      </w:r>
      <w:bookmarkStart w:id="0" w:name="_GoBack"/>
      <w:bookmarkEnd w:id="0"/>
      <w:r w:rsidRPr="00C53A01">
        <w:rPr>
          <w:rFonts w:ascii="Arial" w:hAnsi="Arial" w:cs="Arial"/>
          <w:sz w:val="20"/>
          <w:szCs w:val="20"/>
          <w:lang w:val="it-IT"/>
        </w:rPr>
        <w:t>) da compilare e consegnare.</w:t>
      </w:r>
    </w:p>
    <w:p w:rsidR="00CC5542" w:rsidRDefault="00CC5542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Valutazione e a</w:t>
      </w:r>
      <w:r w:rsidRPr="00C53A01">
        <w:rPr>
          <w:rFonts w:ascii="Arial" w:hAnsi="Arial" w:cs="Arial"/>
          <w:sz w:val="32"/>
          <w:szCs w:val="32"/>
          <w:lang w:val="it-IT"/>
        </w:rPr>
        <w:t>ttribuzione dei punteggi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P</w:t>
      </w:r>
      <w:r w:rsidRPr="009519CA"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ena esclusione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</w:t>
      </w:r>
      <w:r w:rsidRPr="009519CA">
        <w:rPr>
          <w:rFonts w:ascii="Arial" w:eastAsiaTheme="minorHAnsi" w:hAnsi="Arial" w:cs="Arial"/>
          <w:sz w:val="20"/>
          <w:szCs w:val="20"/>
          <w:lang w:val="it-IT" w:eastAsia="en-US"/>
        </w:rPr>
        <w:t xml:space="preserve">tutti gli </w:t>
      </w:r>
      <w:proofErr w:type="spellStart"/>
      <w:r w:rsidRPr="009519CA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nella soluzione dovranno</w:t>
      </w:r>
      <w:r w:rsidRPr="00E650CC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essere</w:t>
      </w:r>
      <w:r w:rsidRPr="00BD5EA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individuati e dovranno rispettare i seguenti vincoli:</w:t>
      </w:r>
    </w:p>
    <w:p w:rsidR="00E91CB9" w:rsidRPr="00E819F8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del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l’area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transizione più intensa (picco base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ottenuta dalle 50 iniezioni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: ≤ 10.0%;</w:t>
      </w:r>
    </w:p>
    <w:p w:rsidR="00E91CB9" w:rsidRPr="00C52229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del 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% (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o dalle 50 iniezioni: 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>≤ 20.0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Pr="00C53A01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tempo di ritenzione di ciascun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dovrà variare di più del 2,5% rispetto alla prima iniezione </w:t>
      </w:r>
    </w:p>
    <w:p w:rsidR="00E91CB9" w:rsidRPr="00223C07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punteggi verranno attribuiti in relazione ai seguenti parametri:</w:t>
      </w:r>
    </w:p>
    <w:p w:rsidR="00E91CB9" w:rsidRPr="007A4006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Deviazione standard relativa (CV%) dell’area della transizione più intensa (picco base) ottenuta dalle 50 iniezioni: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,40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 partecipante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standard relativa (CV%) inferiore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. Al partecipante che risulterà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risulta avere il maggior numero di deviazion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,40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F62F6A">
        <w:rPr>
          <w:rFonts w:ascii="Arial" w:eastAsiaTheme="minorHAnsi" w:hAnsi="Arial" w:cs="Arial"/>
          <w:sz w:val="20"/>
          <w:szCs w:val="20"/>
          <w:lang w:val="it-IT" w:eastAsia="en-US"/>
        </w:rPr>
        <w:t>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2,5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punti)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314E05" w:rsidRDefault="00E91CB9" w:rsidP="00A30C08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0.4×CV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E91CB9" w:rsidRPr="004F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4F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Deviazione standard relativa (CV%) del 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>rapporto ionico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% (rapporto %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fra 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area transizione meno intensa contro area transizione più inten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>sa) ottenuto dalle 50 iniezioni: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4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alla ditta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ndard relativa (CV%) inferiore. Al partecipante che risulterà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avere il maggior numero di deviazion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,4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277B58">
        <w:rPr>
          <w:rFonts w:ascii="Arial" w:eastAsiaTheme="minorHAnsi" w:hAnsi="Arial" w:cs="Arial"/>
          <w:sz w:val="20"/>
          <w:szCs w:val="20"/>
          <w:lang w:val="it-IT" w:eastAsia="en-US"/>
        </w:rPr>
        <w:t>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E86ABE">
        <w:rPr>
          <w:rFonts w:ascii="Arial" w:eastAsiaTheme="minorHAnsi" w:hAnsi="Arial" w:cs="Arial"/>
          <w:sz w:val="20"/>
          <w:szCs w:val="20"/>
          <w:lang w:val="it-IT" w:eastAsia="en-US"/>
        </w:rPr>
        <w:t>2,5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punti)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E91CB9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1A778C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highlight w:val="yellow"/>
          <w:lang w:val="it-IT" w:eastAsia="en-US"/>
        </w:rPr>
      </w:pPr>
    </w:p>
    <w:p w:rsidR="00E91CB9" w:rsidRPr="00314E05" w:rsidRDefault="00E91CB9" w:rsidP="00A30C08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0.4×CV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1000AD" w:rsidRDefault="001000AD" w:rsidP="001000A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NOTA: tutti i coefficienti verranno espressi con 2 cifre decimali senza arrotondamenti sulla seconda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7E4930" w:rsidRPr="007E4930" w:rsidRDefault="007E4930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u w:val="single"/>
          <w:lang w:val="it-IT" w:eastAsia="en-US"/>
        </w:rPr>
      </w:pP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Le offerte che avranno ottenuto nella presente </w:t>
      </w:r>
      <w:r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 xml:space="preserve">prova sperimentale </w:t>
      </w: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un punteggio inferiore a </w:t>
      </w:r>
      <w:r w:rsidR="00A34874"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>12</w:t>
      </w:r>
      <w:r w:rsidR="003768F4"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>,00</w:t>
      </w:r>
      <w:r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 xml:space="preserve"> </w:t>
      </w: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>non saranno considerate e non saranno ammesse alla successiva fase di valutazione economica</w:t>
      </w:r>
      <w:r w:rsidRPr="003768F4">
        <w:rPr>
          <w:rFonts w:ascii="Arial" w:eastAsiaTheme="minorHAnsi" w:hAnsi="Arial" w:cs="Arial"/>
          <w:sz w:val="20"/>
          <w:szCs w:val="20"/>
          <w:u w:val="single"/>
          <w:lang w:val="it-IT" w:eastAsia="en-US"/>
        </w:rPr>
        <w:t>.</w:t>
      </w:r>
    </w:p>
    <w:sectPr w:rsidR="007E4930" w:rsidRPr="007E493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7F" w:rsidRDefault="00BD187F" w:rsidP="00280BC6">
      <w:r>
        <w:separator/>
      </w:r>
    </w:p>
  </w:endnote>
  <w:endnote w:type="continuationSeparator" w:id="0">
    <w:p w:rsidR="00BD187F" w:rsidRDefault="00BD187F" w:rsidP="0028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37717184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62F6A" w:rsidRPr="00BF402E" w:rsidRDefault="00F62F6A">
            <w:pPr>
              <w:pStyle w:val="Pidipagina"/>
              <w:jc w:val="center"/>
              <w:rPr>
                <w:rFonts w:ascii="Arial" w:hAnsi="Arial" w:cs="Arial"/>
              </w:rPr>
            </w:pPr>
            <w:r w:rsidRPr="00BF402E">
              <w:rPr>
                <w:rFonts w:ascii="Arial" w:hAnsi="Arial" w:cs="Arial"/>
                <w:lang w:val="it-IT"/>
              </w:rPr>
              <w:t xml:space="preserve">Pag. </w:t>
            </w:r>
            <w:r w:rsidRPr="00BF402E">
              <w:rPr>
                <w:rFonts w:ascii="Arial" w:hAnsi="Arial" w:cs="Arial"/>
                <w:bCs/>
              </w:rPr>
              <w:fldChar w:fldCharType="begin"/>
            </w:r>
            <w:r w:rsidRPr="00BF402E">
              <w:rPr>
                <w:rFonts w:ascii="Arial" w:hAnsi="Arial" w:cs="Arial"/>
                <w:bCs/>
              </w:rPr>
              <w:instrText>PAGE</w:instrText>
            </w:r>
            <w:r w:rsidRPr="00BF402E">
              <w:rPr>
                <w:rFonts w:ascii="Arial" w:hAnsi="Arial" w:cs="Arial"/>
                <w:bCs/>
              </w:rPr>
              <w:fldChar w:fldCharType="separate"/>
            </w:r>
            <w:r w:rsidR="009432C6">
              <w:rPr>
                <w:rFonts w:ascii="Arial" w:hAnsi="Arial" w:cs="Arial"/>
                <w:bCs/>
                <w:noProof/>
              </w:rPr>
              <w:t>3</w:t>
            </w:r>
            <w:r w:rsidRPr="00BF402E">
              <w:rPr>
                <w:rFonts w:ascii="Arial" w:hAnsi="Arial" w:cs="Arial"/>
                <w:bCs/>
              </w:rPr>
              <w:fldChar w:fldCharType="end"/>
            </w:r>
            <w:r w:rsidRPr="00BF402E">
              <w:rPr>
                <w:rFonts w:ascii="Arial" w:hAnsi="Arial" w:cs="Arial"/>
                <w:lang w:val="it-IT"/>
              </w:rPr>
              <w:t xml:space="preserve"> di </w:t>
            </w:r>
            <w:r w:rsidRPr="00BF402E">
              <w:rPr>
                <w:rFonts w:ascii="Arial" w:hAnsi="Arial" w:cs="Arial"/>
                <w:bCs/>
              </w:rPr>
              <w:fldChar w:fldCharType="begin"/>
            </w:r>
            <w:r w:rsidRPr="00BF402E">
              <w:rPr>
                <w:rFonts w:ascii="Arial" w:hAnsi="Arial" w:cs="Arial"/>
                <w:bCs/>
              </w:rPr>
              <w:instrText>NUMPAGES</w:instrText>
            </w:r>
            <w:r w:rsidRPr="00BF402E">
              <w:rPr>
                <w:rFonts w:ascii="Arial" w:hAnsi="Arial" w:cs="Arial"/>
                <w:bCs/>
              </w:rPr>
              <w:fldChar w:fldCharType="separate"/>
            </w:r>
            <w:r w:rsidR="009432C6">
              <w:rPr>
                <w:rFonts w:ascii="Arial" w:hAnsi="Arial" w:cs="Arial"/>
                <w:bCs/>
                <w:noProof/>
              </w:rPr>
              <w:t>6</w:t>
            </w:r>
            <w:r w:rsidRPr="00BF402E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F62F6A" w:rsidRDefault="00F62F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7F" w:rsidRDefault="00BD187F" w:rsidP="00280BC6">
      <w:r>
        <w:separator/>
      </w:r>
    </w:p>
  </w:footnote>
  <w:footnote w:type="continuationSeparator" w:id="0">
    <w:p w:rsidR="00BD187F" w:rsidRDefault="00BD187F" w:rsidP="0028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1EA"/>
    <w:multiLevelType w:val="hybridMultilevel"/>
    <w:tmpl w:val="DC789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23188"/>
    <w:multiLevelType w:val="hybridMultilevel"/>
    <w:tmpl w:val="60E21B2C"/>
    <w:lvl w:ilvl="0" w:tplc="21226F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57131"/>
    <w:multiLevelType w:val="hybridMultilevel"/>
    <w:tmpl w:val="329E2304"/>
    <w:lvl w:ilvl="0" w:tplc="2CA2A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918B8"/>
    <w:multiLevelType w:val="hybridMultilevel"/>
    <w:tmpl w:val="DE2CD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418E9"/>
    <w:multiLevelType w:val="hybridMultilevel"/>
    <w:tmpl w:val="37B44DCC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37D17"/>
    <w:multiLevelType w:val="hybridMultilevel"/>
    <w:tmpl w:val="55146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F6426"/>
    <w:multiLevelType w:val="hybridMultilevel"/>
    <w:tmpl w:val="3D2C34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03979"/>
    <w:multiLevelType w:val="hybridMultilevel"/>
    <w:tmpl w:val="9DD81048"/>
    <w:lvl w:ilvl="0" w:tplc="C124015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850F3"/>
    <w:multiLevelType w:val="hybridMultilevel"/>
    <w:tmpl w:val="9A645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A7685"/>
    <w:multiLevelType w:val="hybridMultilevel"/>
    <w:tmpl w:val="7DFA7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C6AB3"/>
    <w:multiLevelType w:val="hybridMultilevel"/>
    <w:tmpl w:val="37229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57047"/>
    <w:multiLevelType w:val="hybridMultilevel"/>
    <w:tmpl w:val="19ECCD84"/>
    <w:lvl w:ilvl="0" w:tplc="6A28F05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8B10BD"/>
    <w:multiLevelType w:val="hybridMultilevel"/>
    <w:tmpl w:val="34305FF4"/>
    <w:lvl w:ilvl="0" w:tplc="670494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95867"/>
    <w:multiLevelType w:val="hybridMultilevel"/>
    <w:tmpl w:val="76F622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7303"/>
    <w:multiLevelType w:val="hybridMultilevel"/>
    <w:tmpl w:val="05B89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2"/>
  </w:num>
  <w:num w:numId="11">
    <w:abstractNumId w:val="13"/>
  </w:num>
  <w:num w:numId="12">
    <w:abstractNumId w:val="10"/>
  </w:num>
  <w:num w:numId="13">
    <w:abstractNumId w:val="3"/>
  </w:num>
  <w:num w:numId="14">
    <w:abstractNumId w:val="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95"/>
    <w:rsid w:val="00034907"/>
    <w:rsid w:val="00045BE1"/>
    <w:rsid w:val="00055776"/>
    <w:rsid w:val="000756EF"/>
    <w:rsid w:val="000A1C4D"/>
    <w:rsid w:val="001000AD"/>
    <w:rsid w:val="00102C2A"/>
    <w:rsid w:val="001376E9"/>
    <w:rsid w:val="001455B4"/>
    <w:rsid w:val="00146E32"/>
    <w:rsid w:val="00157604"/>
    <w:rsid w:val="00160C60"/>
    <w:rsid w:val="001665B7"/>
    <w:rsid w:val="001668A3"/>
    <w:rsid w:val="001A778C"/>
    <w:rsid w:val="001B2D18"/>
    <w:rsid w:val="001B318C"/>
    <w:rsid w:val="001E4BE1"/>
    <w:rsid w:val="00207B97"/>
    <w:rsid w:val="00216945"/>
    <w:rsid w:val="00223C07"/>
    <w:rsid w:val="00230058"/>
    <w:rsid w:val="002358A7"/>
    <w:rsid w:val="00236DB5"/>
    <w:rsid w:val="00277B58"/>
    <w:rsid w:val="00280BC6"/>
    <w:rsid w:val="002960BD"/>
    <w:rsid w:val="002A3B4C"/>
    <w:rsid w:val="002E1878"/>
    <w:rsid w:val="002F3109"/>
    <w:rsid w:val="0031075B"/>
    <w:rsid w:val="00314E05"/>
    <w:rsid w:val="00320EEF"/>
    <w:rsid w:val="00335E7E"/>
    <w:rsid w:val="0035014F"/>
    <w:rsid w:val="00352C60"/>
    <w:rsid w:val="003570F6"/>
    <w:rsid w:val="00360989"/>
    <w:rsid w:val="003752B1"/>
    <w:rsid w:val="003768F4"/>
    <w:rsid w:val="003964B5"/>
    <w:rsid w:val="003A164E"/>
    <w:rsid w:val="003B4B45"/>
    <w:rsid w:val="003B65F7"/>
    <w:rsid w:val="003C7C0C"/>
    <w:rsid w:val="003D1C70"/>
    <w:rsid w:val="003D76B1"/>
    <w:rsid w:val="003F36F3"/>
    <w:rsid w:val="0041028D"/>
    <w:rsid w:val="00411CA5"/>
    <w:rsid w:val="0041264C"/>
    <w:rsid w:val="00420381"/>
    <w:rsid w:val="004400BF"/>
    <w:rsid w:val="00442595"/>
    <w:rsid w:val="00442B8D"/>
    <w:rsid w:val="0046283F"/>
    <w:rsid w:val="004749C5"/>
    <w:rsid w:val="004D75F6"/>
    <w:rsid w:val="004F1CB9"/>
    <w:rsid w:val="004F2E08"/>
    <w:rsid w:val="005211AC"/>
    <w:rsid w:val="00540CFE"/>
    <w:rsid w:val="00541EEE"/>
    <w:rsid w:val="00542FA4"/>
    <w:rsid w:val="005C33EB"/>
    <w:rsid w:val="005C357E"/>
    <w:rsid w:val="005D6529"/>
    <w:rsid w:val="005E526C"/>
    <w:rsid w:val="005E73E7"/>
    <w:rsid w:val="005E7985"/>
    <w:rsid w:val="00613EF4"/>
    <w:rsid w:val="006343E7"/>
    <w:rsid w:val="00647F22"/>
    <w:rsid w:val="006516EA"/>
    <w:rsid w:val="00651E86"/>
    <w:rsid w:val="00653E3B"/>
    <w:rsid w:val="0065597B"/>
    <w:rsid w:val="00663F30"/>
    <w:rsid w:val="00666F3C"/>
    <w:rsid w:val="00667CA4"/>
    <w:rsid w:val="00671CC8"/>
    <w:rsid w:val="0068465E"/>
    <w:rsid w:val="006B2653"/>
    <w:rsid w:val="006B6266"/>
    <w:rsid w:val="006C423F"/>
    <w:rsid w:val="006F182D"/>
    <w:rsid w:val="00700708"/>
    <w:rsid w:val="00713A11"/>
    <w:rsid w:val="00721D00"/>
    <w:rsid w:val="00751223"/>
    <w:rsid w:val="0076383F"/>
    <w:rsid w:val="00771645"/>
    <w:rsid w:val="007A0BA5"/>
    <w:rsid w:val="007A4006"/>
    <w:rsid w:val="007B7CC5"/>
    <w:rsid w:val="007E4930"/>
    <w:rsid w:val="007E493F"/>
    <w:rsid w:val="007E5F93"/>
    <w:rsid w:val="007F0FE0"/>
    <w:rsid w:val="00800D0C"/>
    <w:rsid w:val="008219DF"/>
    <w:rsid w:val="00833C14"/>
    <w:rsid w:val="0083517B"/>
    <w:rsid w:val="00840AEE"/>
    <w:rsid w:val="00844255"/>
    <w:rsid w:val="008543D5"/>
    <w:rsid w:val="008974AC"/>
    <w:rsid w:val="0089758C"/>
    <w:rsid w:val="008C7293"/>
    <w:rsid w:val="008D04CD"/>
    <w:rsid w:val="008D3210"/>
    <w:rsid w:val="008E130B"/>
    <w:rsid w:val="008E3C59"/>
    <w:rsid w:val="00911DA3"/>
    <w:rsid w:val="0092104D"/>
    <w:rsid w:val="009364FB"/>
    <w:rsid w:val="009432C6"/>
    <w:rsid w:val="009519CA"/>
    <w:rsid w:val="00952646"/>
    <w:rsid w:val="009604AD"/>
    <w:rsid w:val="009A0282"/>
    <w:rsid w:val="009A1914"/>
    <w:rsid w:val="009B2DF4"/>
    <w:rsid w:val="009B6EB6"/>
    <w:rsid w:val="009E2866"/>
    <w:rsid w:val="009E543B"/>
    <w:rsid w:val="009F1F1F"/>
    <w:rsid w:val="00A067F6"/>
    <w:rsid w:val="00A06FB6"/>
    <w:rsid w:val="00A0718F"/>
    <w:rsid w:val="00A1495D"/>
    <w:rsid w:val="00A30C08"/>
    <w:rsid w:val="00A34874"/>
    <w:rsid w:val="00A460A6"/>
    <w:rsid w:val="00A50C71"/>
    <w:rsid w:val="00A5766C"/>
    <w:rsid w:val="00A71B37"/>
    <w:rsid w:val="00A752F4"/>
    <w:rsid w:val="00A77F0A"/>
    <w:rsid w:val="00A94EA3"/>
    <w:rsid w:val="00AF4DB6"/>
    <w:rsid w:val="00B04BA4"/>
    <w:rsid w:val="00B04CE3"/>
    <w:rsid w:val="00B158D2"/>
    <w:rsid w:val="00B34B59"/>
    <w:rsid w:val="00B378B3"/>
    <w:rsid w:val="00B70316"/>
    <w:rsid w:val="00B74BBC"/>
    <w:rsid w:val="00B75663"/>
    <w:rsid w:val="00B919E0"/>
    <w:rsid w:val="00BA44F2"/>
    <w:rsid w:val="00BC14D8"/>
    <w:rsid w:val="00BC76E5"/>
    <w:rsid w:val="00BD187F"/>
    <w:rsid w:val="00BD5EA9"/>
    <w:rsid w:val="00BE684D"/>
    <w:rsid w:val="00BF3F80"/>
    <w:rsid w:val="00BF402E"/>
    <w:rsid w:val="00C36EF7"/>
    <w:rsid w:val="00C45DCC"/>
    <w:rsid w:val="00C52229"/>
    <w:rsid w:val="00C53A01"/>
    <w:rsid w:val="00C72F80"/>
    <w:rsid w:val="00C7403D"/>
    <w:rsid w:val="00C75AB1"/>
    <w:rsid w:val="00C812D4"/>
    <w:rsid w:val="00C83FD3"/>
    <w:rsid w:val="00C87D7B"/>
    <w:rsid w:val="00CC5542"/>
    <w:rsid w:val="00CD3537"/>
    <w:rsid w:val="00CD57D7"/>
    <w:rsid w:val="00CE3D95"/>
    <w:rsid w:val="00CF7040"/>
    <w:rsid w:val="00D20268"/>
    <w:rsid w:val="00D37C57"/>
    <w:rsid w:val="00D60D30"/>
    <w:rsid w:val="00D647CE"/>
    <w:rsid w:val="00DA4289"/>
    <w:rsid w:val="00DE7290"/>
    <w:rsid w:val="00DF0C1F"/>
    <w:rsid w:val="00E06153"/>
    <w:rsid w:val="00E11604"/>
    <w:rsid w:val="00E650CC"/>
    <w:rsid w:val="00E67ED0"/>
    <w:rsid w:val="00E7226E"/>
    <w:rsid w:val="00E819F8"/>
    <w:rsid w:val="00E86ABE"/>
    <w:rsid w:val="00E9132B"/>
    <w:rsid w:val="00E91CB9"/>
    <w:rsid w:val="00EA06EA"/>
    <w:rsid w:val="00EC1EEE"/>
    <w:rsid w:val="00ED70F0"/>
    <w:rsid w:val="00EF2689"/>
    <w:rsid w:val="00F06682"/>
    <w:rsid w:val="00F1789B"/>
    <w:rsid w:val="00F23657"/>
    <w:rsid w:val="00F35230"/>
    <w:rsid w:val="00F352EF"/>
    <w:rsid w:val="00F40707"/>
    <w:rsid w:val="00F554C5"/>
    <w:rsid w:val="00F62F6A"/>
    <w:rsid w:val="00F74274"/>
    <w:rsid w:val="00FA2167"/>
    <w:rsid w:val="00FB13C1"/>
    <w:rsid w:val="00FE1E89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7EA245"/>
  <w15:docId w15:val="{66EAE363-C2AE-4F1C-B185-4C14D713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2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6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6EA"/>
    <w:rPr>
      <w:rFonts w:ascii="Tahoma" w:eastAsia="Times New Roman" w:hAnsi="Tahoma" w:cs="Tahoma"/>
      <w:sz w:val="16"/>
      <w:szCs w:val="16"/>
      <w:lang w:val="en-GB" w:eastAsia="it-IT"/>
    </w:rPr>
  </w:style>
  <w:style w:type="table" w:styleId="Grigliatabella">
    <w:name w:val="Table Grid"/>
    <w:basedOn w:val="Tabellanormale"/>
    <w:rsid w:val="005E7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7C0C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314E05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280B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BC6"/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0B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BC6"/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paragraph" w:styleId="Rientrocorpodeltesto">
    <w:name w:val="Body Text Indent"/>
    <w:basedOn w:val="Normale"/>
    <w:link w:val="RientrocorpodeltestoCarattere"/>
    <w:rsid w:val="009A0282"/>
    <w:pPr>
      <w:ind w:left="360"/>
    </w:pPr>
    <w:rPr>
      <w:sz w:val="20"/>
      <w:szCs w:val="20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A028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7B54-55BA-4144-8E76-F2F93A4C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 DUSI</dc:creator>
  <cp:lastModifiedBy>Menotta Simonetta</cp:lastModifiedBy>
  <cp:revision>6</cp:revision>
  <cp:lastPrinted>2021-01-07T08:21:00Z</cp:lastPrinted>
  <dcterms:created xsi:type="dcterms:W3CDTF">2021-07-05T11:03:00Z</dcterms:created>
  <dcterms:modified xsi:type="dcterms:W3CDTF">2021-07-05T13:19:00Z</dcterms:modified>
</cp:coreProperties>
</file>