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A414E" w:rsidRDefault="00082CA3" w:rsidP="00DB6918">
            <w:pPr>
              <w:pStyle w:val="Titolo1"/>
              <w:jc w:val="both"/>
              <w:rPr>
                <w:sz w:val="20"/>
                <w:szCs w:val="20"/>
              </w:rPr>
            </w:pPr>
            <w:r w:rsidRPr="00082CA3">
              <w:rPr>
                <w:sz w:val="20"/>
                <w:szCs w:val="20"/>
              </w:rPr>
              <w:t>PROCEDURA APERTA PER L’AFFIDAMENTO DEL SERVIZIO DI PREPARAZIONE E CONSEGNA PASTI A DOMICILIO PER ANZIANI E ALTRI SOGGETTI FRAGILI. PERIODO: 01/07/2021-30/06/2023, CON POSSIBILITÀ DI RINNOVO PER UN ULTERIORE BIENNIO</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8606C2" w:rsidP="00BA091B">
            <w:pPr>
              <w:pStyle w:val="NormaleWeb"/>
              <w:spacing w:line="276" w:lineRule="auto"/>
              <w:ind w:right="190"/>
              <w:rPr>
                <w:b/>
                <w:sz w:val="20"/>
                <w:szCs w:val="20"/>
              </w:rPr>
            </w:pPr>
            <w:r w:rsidRPr="00EA6DB3">
              <w:rPr>
                <w:b/>
                <w:sz w:val="20"/>
                <w:szCs w:val="20"/>
              </w:rPr>
              <w:t>CIG</w:t>
            </w:r>
            <w:r w:rsidR="001F3135">
              <w:rPr>
                <w:b/>
                <w:sz w:val="20"/>
                <w:szCs w:val="20"/>
              </w:rPr>
              <w:t>:</w:t>
            </w:r>
            <w:r w:rsidRPr="00EA6DB3">
              <w:rPr>
                <w:b/>
                <w:sz w:val="20"/>
                <w:szCs w:val="20"/>
              </w:rPr>
              <w:t xml:space="preserve"> </w:t>
            </w:r>
            <w:r w:rsidR="00082CA3" w:rsidRPr="00082CA3">
              <w:rPr>
                <w:b/>
                <w:sz w:val="20"/>
                <w:szCs w:val="20"/>
                <w:lang w:bidi="it-IT"/>
              </w:rPr>
              <w:t>8768552604</w:t>
            </w:r>
            <w:bookmarkStart w:id="0" w:name="_GoBack"/>
            <w:bookmarkEnd w:id="0"/>
          </w:p>
          <w:p w:rsidR="00A23B3E" w:rsidRPr="000F33CD" w:rsidRDefault="00A23B3E" w:rsidP="00082CA3">
            <w:pPr>
              <w:pStyle w:val="NormaleWeb"/>
              <w:spacing w:line="276" w:lineRule="auto"/>
              <w:ind w:right="190"/>
              <w:rPr>
                <w:b/>
                <w:sz w:val="20"/>
                <w:szCs w:val="20"/>
              </w:rPr>
            </w:pPr>
            <w:r w:rsidRPr="000F33CD">
              <w:rPr>
                <w:b/>
                <w:sz w:val="20"/>
                <w:szCs w:val="20"/>
              </w:rPr>
              <w:t xml:space="preserve"> </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SimSun"/>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82CA3">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52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2CA3"/>
    <w:rsid w:val="00084307"/>
    <w:rsid w:val="000953DC"/>
    <w:rsid w:val="000A7B33"/>
    <w:rsid w:val="000B5314"/>
    <w:rsid w:val="000D2DC2"/>
    <w:rsid w:val="000E5FBC"/>
    <w:rsid w:val="000F33CD"/>
    <w:rsid w:val="000F588A"/>
    <w:rsid w:val="00121BF6"/>
    <w:rsid w:val="00127CA3"/>
    <w:rsid w:val="001752F0"/>
    <w:rsid w:val="001A5B90"/>
    <w:rsid w:val="001C06D6"/>
    <w:rsid w:val="001D3A2B"/>
    <w:rsid w:val="001D56C2"/>
    <w:rsid w:val="001F3135"/>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3226"/>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77797"/>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414E"/>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2C47"/>
    <w:rsid w:val="00D27DB2"/>
    <w:rsid w:val="00D509A5"/>
    <w:rsid w:val="00D64744"/>
    <w:rsid w:val="00D92A41"/>
    <w:rsid w:val="00D93877"/>
    <w:rsid w:val="00DA7329"/>
    <w:rsid w:val="00DB6918"/>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3B65E-A3BC-4F8B-A992-07DF936D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6431</Words>
  <Characters>36657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43002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CUC2</cp:lastModifiedBy>
  <cp:revision>22</cp:revision>
  <cp:lastPrinted>2016-07-15T13:50:00Z</cp:lastPrinted>
  <dcterms:created xsi:type="dcterms:W3CDTF">2019-02-13T12:40:00Z</dcterms:created>
  <dcterms:modified xsi:type="dcterms:W3CDTF">2021-05-25T10:05:00Z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